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2" w:rsidRDefault="00921112" w:rsidP="00921112">
      <w:pPr>
        <w:pStyle w:val="Corpodetexto"/>
        <w:spacing w:before="72"/>
        <w:ind w:left="1264"/>
        <w:rPr>
          <w:rFonts w:ascii="Impact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7DDACF4F" wp14:editId="4E500C4C">
            <wp:simplePos x="0" y="0"/>
            <wp:positionH relativeFrom="page">
              <wp:posOffset>224154</wp:posOffset>
            </wp:positionH>
            <wp:positionV relativeFrom="paragraph">
              <wp:posOffset>167633</wp:posOffset>
            </wp:positionV>
            <wp:extent cx="627380" cy="688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</w:rPr>
        <w:t>GOVERNO DE SANTA CATARINA</w:t>
      </w:r>
    </w:p>
    <w:p w:rsidR="00921112" w:rsidRDefault="00921112" w:rsidP="00921112">
      <w:pPr>
        <w:pStyle w:val="Corpodetexto"/>
        <w:ind w:left="1264" w:right="7401"/>
        <w:rPr>
          <w:rFonts w:ascii="Impact" w:hAnsi="Impact"/>
        </w:rPr>
      </w:pPr>
      <w:r>
        <w:rPr>
          <w:rFonts w:ascii="Impact" w:hAnsi="Impact"/>
        </w:rPr>
        <w:t>Secretaria de Estado da Saúde Sistema Único de Saúde</w:t>
      </w:r>
    </w:p>
    <w:p w:rsidR="00921112" w:rsidRDefault="00921112" w:rsidP="00921112">
      <w:pPr>
        <w:pStyle w:val="Corpodetexto"/>
        <w:ind w:left="1264" w:right="6261"/>
        <w:rPr>
          <w:rFonts w:ascii="Impact" w:hAnsi="Impact"/>
        </w:rPr>
      </w:pPr>
      <w:r>
        <w:rPr>
          <w:rFonts w:ascii="Impact" w:hAnsi="Impact"/>
        </w:rPr>
        <w:t>Superintendência de Vigilância em Saúde Diretoria de Vigilância Sanitária</w:t>
      </w:r>
    </w:p>
    <w:p w:rsidR="00921112" w:rsidRDefault="00921112" w:rsidP="00921112">
      <w:pPr>
        <w:pStyle w:val="Corpodetexto"/>
        <w:spacing w:before="5"/>
        <w:rPr>
          <w:rFonts w:ascii="Impact"/>
          <w:sz w:val="32"/>
        </w:rPr>
      </w:pPr>
    </w:p>
    <w:p w:rsidR="00921112" w:rsidRDefault="00921112" w:rsidP="00921112">
      <w:pPr>
        <w:pStyle w:val="Corpodetexto"/>
        <w:ind w:left="993" w:right="887"/>
        <w:rPr>
          <w:sz w:val="20"/>
        </w:rPr>
      </w:pPr>
    </w:p>
    <w:p w:rsidR="00921112" w:rsidRDefault="00921112" w:rsidP="00921112">
      <w:pPr>
        <w:pStyle w:val="Corpodetexto"/>
        <w:ind w:right="603"/>
        <w:rPr>
          <w:sz w:val="20"/>
        </w:rPr>
      </w:pPr>
    </w:p>
    <w:p w:rsidR="00921112" w:rsidRPr="000367D9" w:rsidRDefault="00921112" w:rsidP="00921112">
      <w:pPr>
        <w:pStyle w:val="Cabealho"/>
        <w:tabs>
          <w:tab w:val="clear" w:pos="4320"/>
          <w:tab w:val="left" w:pos="4500"/>
        </w:tabs>
        <w:spacing w:line="360" w:lineRule="auto"/>
        <w:ind w:left="1276" w:right="1028"/>
        <w:jc w:val="both"/>
        <w:rPr>
          <w:rFonts w:ascii="Arial" w:hAnsi="Arial" w:cs="Arial"/>
          <w:b/>
          <w:sz w:val="24"/>
          <w:szCs w:val="24"/>
        </w:rPr>
      </w:pPr>
      <w:r w:rsidRPr="000367D9">
        <w:rPr>
          <w:rFonts w:ascii="Arial" w:hAnsi="Arial" w:cs="Arial"/>
          <w:b/>
          <w:sz w:val="24"/>
          <w:szCs w:val="24"/>
        </w:rPr>
        <w:t>INSTRUÇÃO NORMATIVA Nº 001/DIVS/SES – de 15/10/2020</w:t>
      </w:r>
    </w:p>
    <w:p w:rsidR="00921112" w:rsidRPr="000367D9" w:rsidRDefault="00921112" w:rsidP="00921112">
      <w:pPr>
        <w:spacing w:line="360" w:lineRule="auto"/>
        <w:ind w:left="1276" w:right="102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sz w:val="24"/>
          <w:szCs w:val="24"/>
          <w:lang w:val="pt-BR" w:eastAsia="pt-BR"/>
        </w:rPr>
        <w:t>A Diretora de Vigilância Sanitária da Secretaria de Estado da Saúde, no uso de suas atribuições legais, conforme Decreto Estadual n° 4.793, de 31/08/94;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 disposto na Constituição Federal, nos seus artigos 196, 197 e 200;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sz w:val="24"/>
          <w:szCs w:val="24"/>
          <w:lang w:val="pt-BR" w:eastAsia="pt-BR"/>
        </w:rPr>
        <w:t>Considerando o disposto na lei orgânica da saúde, nº 8.080/90, no seu artigo 5°, I e II e art. 6°, I e V;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 disposto na Lei nº 6320/83, que dispõe normas gerais de saúde, estabelece penalidades e dá outras providências e seus Decretos regulamentadores;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 disposto no Decreto n° 31.455, de 20 de fevereiro de 1987, que regulamentou os artigos 30 e 31 da Lei n° 6.320, de 20 de dezembro de 1983;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="00133535">
        <w:rPr>
          <w:rFonts w:ascii="Arial" w:hAnsi="Arial" w:cs="Arial"/>
          <w:sz w:val="24"/>
          <w:szCs w:val="24"/>
          <w:lang w:val="pt-BR" w:eastAsia="pt-BR"/>
        </w:rPr>
        <w:t xml:space="preserve"> o disposto na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Lei Estadual nº. 14.660, de 22 de janeiro de 2009, deu nova redação ao § 1º do art. 30 da Lei nº 6.320, de 1983, que dispõe sobre normas gerais de saúde;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Portaria GM n.º 3.214, de 08 de junho de 1978;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="00133535">
        <w:rPr>
          <w:rFonts w:ascii="Arial" w:hAnsi="Arial" w:cs="Arial"/>
          <w:sz w:val="24"/>
          <w:szCs w:val="24"/>
          <w:lang w:val="pt-BR" w:eastAsia="pt-BR"/>
        </w:rPr>
        <w:t xml:space="preserve"> a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NR 7 - que trata do PROGRAMA DE CONTROLE MÉDICO DE SAÚDE OCUPACIONAL (Texto dado pela Portaria SSST n.º 24, de 29 de dezembro de 1994);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NR 9 - PROGRAMA DE PREVENÇÃO DE RISCOS AMBIENTAIS - estabelece a obrigatoriedade da elaboração e </w:t>
      </w:r>
      <w:proofErr w:type="gramStart"/>
      <w:r w:rsidRPr="000367D9">
        <w:rPr>
          <w:rFonts w:ascii="Arial" w:hAnsi="Arial" w:cs="Arial"/>
          <w:sz w:val="24"/>
          <w:szCs w:val="24"/>
          <w:lang w:val="pt-BR" w:eastAsia="pt-BR"/>
        </w:rPr>
        <w:t>implementação</w:t>
      </w:r>
      <w:proofErr w:type="gramEnd"/>
      <w:r w:rsidRPr="000367D9">
        <w:rPr>
          <w:rFonts w:ascii="Arial" w:hAnsi="Arial" w:cs="Arial"/>
          <w:sz w:val="24"/>
          <w:szCs w:val="24"/>
          <w:lang w:val="pt-BR" w:eastAsia="pt-BR"/>
        </w:rPr>
        <w:t>, por parte de todos os empregadores e instituições que admitam trabalhadores como empregados, visando à preservação da saúde e da integridade dos trabalhadores, através da antecipação, reconhecimento, avaliação e consequente controle da ocorrência de riscos ambientais;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133535">
        <w:rPr>
          <w:rFonts w:ascii="Arial" w:hAnsi="Arial" w:cs="Arial"/>
          <w:b/>
          <w:sz w:val="24"/>
          <w:szCs w:val="24"/>
          <w:lang w:val="pt-BR" w:eastAsia="pt-BR"/>
        </w:rPr>
        <w:t>Considerando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Lei Federal nº 12.842, de 10 de julho de 2013, artigo 4º Inciso XIII - Atestação médica de condições de saúde, doenças e possíveis sequelas;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sz w:val="24"/>
          <w:szCs w:val="24"/>
          <w:lang w:val="pt-BR" w:eastAsia="pt-BR"/>
        </w:rPr>
        <w:t>Considerando que as ações de vigilância em saúde incluem ações de redução dos riscos para pacientes, trabalhadores e indivíduos do público;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RESOLVE: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Art. 1° </w:t>
      </w:r>
      <w:r w:rsidRPr="000367D9">
        <w:rPr>
          <w:rFonts w:ascii="Arial" w:hAnsi="Arial" w:cs="Arial"/>
          <w:bCs/>
          <w:sz w:val="24"/>
          <w:szCs w:val="24"/>
          <w:lang w:val="pt-BR" w:eastAsia="pt-BR"/>
        </w:rPr>
        <w:t xml:space="preserve">Fica adotado no âmbito do Estado de Catarina em substituição a Carteira de Saúde o Atestado de Saúde Ocupacional – ASO como sendo regulamentado pela </w:t>
      </w:r>
      <w:r w:rsidRPr="000367D9">
        <w:rPr>
          <w:rFonts w:ascii="Arial" w:hAnsi="Arial" w:cs="Arial"/>
          <w:bCs/>
          <w:sz w:val="24"/>
          <w:szCs w:val="24"/>
          <w:lang w:val="pt-BR" w:eastAsia="pt-BR"/>
        </w:rPr>
        <w:lastRenderedPageBreak/>
        <w:t>norma regulamentadora nº 07 (Programas de Controle Médico de Saúde Ocupacional – PCMSO) do Ministério do Trabalho e Emprego;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bCs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>Art.2°</w:t>
      </w:r>
      <w:r w:rsidRPr="000367D9">
        <w:rPr>
          <w:rFonts w:ascii="Arial" w:hAnsi="Arial" w:cs="Arial"/>
          <w:bCs/>
          <w:sz w:val="24"/>
          <w:szCs w:val="24"/>
          <w:lang w:val="pt-BR" w:eastAsia="pt-BR"/>
        </w:rPr>
        <w:t xml:space="preserve"> O Atestado de Saúde Ocupacional passa a ser parte integrante e indispensável no Programa de Controle Médico de Saúde Ocupacional – PCMSO, que tem como objetivo a promoção e preservação da saúde dos trabalhadores.</w:t>
      </w:r>
    </w:p>
    <w:p w:rsidR="00921112" w:rsidRPr="000367D9" w:rsidRDefault="00921112" w:rsidP="00921112">
      <w:pPr>
        <w:widowControl/>
        <w:tabs>
          <w:tab w:val="left" w:pos="10915"/>
        </w:tabs>
        <w:adjustRightInd w:val="0"/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Art.3°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De acordo com o item 7.4.4 da norma regulamentadora nº 07, estabelece que para cada exame médico realizado, o médico deverá emitir o Atestado de Saúde Ocupacional – ASO, em </w:t>
      </w:r>
      <w:proofErr w:type="gramStart"/>
      <w:r w:rsidRPr="000367D9">
        <w:rPr>
          <w:rFonts w:ascii="Arial" w:hAnsi="Arial" w:cs="Arial"/>
          <w:sz w:val="24"/>
          <w:szCs w:val="24"/>
          <w:lang w:val="pt-BR" w:eastAsia="pt-BR"/>
        </w:rPr>
        <w:t>2</w:t>
      </w:r>
      <w:proofErr w:type="gramEnd"/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(duas) vias;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Parágrafo Único -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A primeira via do ASO ficará arquivada no local de trabalho do trabalhador e a segunda via do ASO, será obrigatoriamente entregue ao trabalhador, mediante recibo da primeira via;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Art.4°</w:t>
      </w:r>
      <w:r w:rsidR="00133535">
        <w:rPr>
          <w:rFonts w:ascii="Arial" w:hAnsi="Arial" w:cs="Arial"/>
          <w:sz w:val="24"/>
          <w:szCs w:val="24"/>
          <w:lang w:val="pt-BR" w:eastAsia="pt-BR"/>
        </w:rPr>
        <w:t xml:space="preserve"> O Atestado de Saú</w:t>
      </w:r>
      <w:r w:rsidRPr="000367D9">
        <w:rPr>
          <w:rFonts w:ascii="Arial" w:hAnsi="Arial" w:cs="Arial"/>
          <w:sz w:val="24"/>
          <w:szCs w:val="24"/>
          <w:lang w:val="pt-BR" w:eastAsia="pt-BR"/>
        </w:rPr>
        <w:t>de O</w:t>
      </w:r>
      <w:r>
        <w:rPr>
          <w:rFonts w:ascii="Arial" w:hAnsi="Arial" w:cs="Arial"/>
          <w:sz w:val="24"/>
          <w:szCs w:val="24"/>
          <w:lang w:val="pt-BR" w:eastAsia="pt-BR"/>
        </w:rPr>
        <w:t>cupacional deverá conter todas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as informações constates do subitem 7.4.4.3 da norma regulamentadora nº 07, senão veja-se; 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nome completo do trabalhador, o número de registro de sua identidade e sua função;</w:t>
      </w:r>
    </w:p>
    <w:p w:rsidR="00921112" w:rsidRPr="000367D9" w:rsidRDefault="00921112" w:rsidP="00921112">
      <w:pPr>
        <w:tabs>
          <w:tab w:val="left" w:pos="10632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b)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os riscos ocupacionais específicos existentes, ou a ausência deles, na atividade do empregado, conforme instruções técnicas expedidas pela Secretaria de Segurança e Saúde no Trabalho-SSST;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c)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indicação dos procedimentos médicos a que foi submetido o trabalhador, incluindo os exames complementares e a data em que foram realizados;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d)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 nome do médico coordenador, quando houver, com respectivo CRM;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e)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definição de apto ou inapto para a função específica que o trabalhador vai exercer</w:t>
      </w:r>
      <w:proofErr w:type="gramStart"/>
      <w:r w:rsidRPr="000367D9">
        <w:rPr>
          <w:rFonts w:ascii="Arial" w:hAnsi="Arial" w:cs="Arial"/>
          <w:sz w:val="24"/>
          <w:szCs w:val="24"/>
          <w:lang w:val="pt-BR" w:eastAsia="pt-BR"/>
        </w:rPr>
        <w:t>, exerce</w:t>
      </w:r>
      <w:proofErr w:type="gramEnd"/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ou exerceu;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f)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nome do médico encarregado do exame e endereço ou forma de contato;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g)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data e assinatura do médico encarregado do exame e carimbo contendo seu número de inscrição no Conselho Regional de Medicina.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Art.5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° Os dados obtidos nos exames médicos, incluindo avaliação clínica e exames complementares, as conclusões e as medidas aplicadas deverão ser registrados em prontuário clínico individual, que ficará sob a responsabilidade do médico-coordenador do PCMSO; 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Art.6°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0367D9">
        <w:rPr>
          <w:rFonts w:ascii="Arial" w:hAnsi="Arial" w:cs="Arial"/>
          <w:sz w:val="24"/>
          <w:szCs w:val="24"/>
          <w:lang w:val="pt-BR" w:eastAsia="pt-BR"/>
        </w:rPr>
        <w:t>O Atestado de Saúde Ocupacional deverá ser realizado nas seguintes circunstâncias abaixo: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Admissional;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b)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Periódico;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c)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Retorno ao trabalho;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lastRenderedPageBreak/>
        <w:t>d)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Mudança de função;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e)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0367D9">
        <w:rPr>
          <w:rFonts w:ascii="Arial" w:hAnsi="Arial" w:cs="Arial"/>
          <w:sz w:val="24"/>
          <w:szCs w:val="24"/>
          <w:lang w:val="pt-BR" w:eastAsia="pt-BR"/>
        </w:rPr>
        <w:t>Demissional</w:t>
      </w:r>
      <w:proofErr w:type="spellEnd"/>
      <w:r w:rsidRPr="000367D9">
        <w:rPr>
          <w:rFonts w:ascii="Arial" w:hAnsi="Arial" w:cs="Arial"/>
          <w:sz w:val="24"/>
          <w:szCs w:val="24"/>
          <w:lang w:val="pt-BR" w:eastAsia="pt-BR"/>
        </w:rPr>
        <w:t>.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Art.7</w:t>
      </w:r>
      <w:r w:rsidRPr="000367D9">
        <w:rPr>
          <w:rFonts w:ascii="Arial" w:hAnsi="Arial" w:cs="Arial"/>
          <w:sz w:val="24"/>
          <w:szCs w:val="24"/>
          <w:lang w:val="pt-BR" w:eastAsia="pt-BR"/>
        </w:rPr>
        <w:t>° O Atestado de Saúde Ocupacional – ASO é obrigatório a todos os empregadores e instituições que admitam trabalhadores como empregados, regidos pela Consolidação das Leis do Trabalho – CLT;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bookmarkStart w:id="0" w:name="_Toc425254710"/>
      <w:bookmarkStart w:id="1" w:name="_Toc425255533"/>
      <w:bookmarkStart w:id="2" w:name="_Toc425255665"/>
      <w:bookmarkStart w:id="3" w:name="_Toc425256707"/>
      <w:bookmarkStart w:id="4" w:name="_Toc425257062"/>
      <w:bookmarkStart w:id="5" w:name="_Toc428276283"/>
      <w:r w:rsidRPr="000367D9">
        <w:rPr>
          <w:rFonts w:ascii="Arial" w:hAnsi="Arial" w:cs="Arial"/>
          <w:b/>
          <w:bCs/>
          <w:sz w:val="24"/>
          <w:szCs w:val="24"/>
          <w:lang w:val="pt-BR"/>
        </w:rPr>
        <w:t>Art.8º</w:t>
      </w:r>
      <w:bookmarkEnd w:id="0"/>
      <w:bookmarkEnd w:id="1"/>
      <w:bookmarkEnd w:id="2"/>
      <w:bookmarkEnd w:id="3"/>
      <w:bookmarkEnd w:id="4"/>
      <w:bookmarkEnd w:id="5"/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O descumprimento das determinações contidas nesta Resolução Normativa constitui infração de natureza sanitária, sujeitando o infrator às penalidades previstas na Lei Estadual 6.320, de 20 de dezembro de 1983, suas atualizações ou instrumento legal que venha a substituí-la, sem prejuízo das responsabilidades civil e penal cabíveis;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Art.9°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Esta Instrução Normativa revoga a Instrução Normativa n°.0006 DIVS/SES, de 07/11/2012 publicada no D.O.E. </w:t>
      </w:r>
      <w:proofErr w:type="gramStart"/>
      <w:r w:rsidRPr="000367D9">
        <w:rPr>
          <w:rFonts w:ascii="Arial" w:hAnsi="Arial" w:cs="Arial"/>
          <w:sz w:val="24"/>
          <w:szCs w:val="24"/>
          <w:lang w:val="pt-BR" w:eastAsia="pt-BR"/>
        </w:rPr>
        <w:t>nº</w:t>
      </w:r>
      <w:proofErr w:type="gramEnd"/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19.459, de 19/11/2012;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0367D9">
        <w:rPr>
          <w:rFonts w:ascii="Arial" w:hAnsi="Arial" w:cs="Arial"/>
          <w:b/>
          <w:sz w:val="24"/>
          <w:szCs w:val="24"/>
          <w:lang w:val="pt-BR" w:eastAsia="pt-BR"/>
        </w:rPr>
        <w:t>Art.10</w:t>
      </w:r>
      <w:r w:rsidRPr="000367D9">
        <w:rPr>
          <w:rFonts w:ascii="Arial" w:hAnsi="Arial" w:cs="Arial"/>
          <w:sz w:val="24"/>
          <w:szCs w:val="24"/>
          <w:lang w:val="pt-BR" w:eastAsia="pt-BR"/>
        </w:rPr>
        <w:t xml:space="preserve"> Esta Instrução Normativa entra em vigor 30 (trinta) dias após sua publicação.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/>
        </w:rPr>
      </w:pPr>
      <w:r w:rsidRPr="000367D9">
        <w:rPr>
          <w:rFonts w:ascii="Arial" w:hAnsi="Arial" w:cs="Arial"/>
          <w:sz w:val="24"/>
          <w:szCs w:val="24"/>
          <w:lang w:val="pt-BR"/>
        </w:rPr>
        <w:t>F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0367D9">
        <w:rPr>
          <w:rFonts w:ascii="Arial" w:hAnsi="Arial" w:cs="Arial"/>
          <w:sz w:val="24"/>
          <w:szCs w:val="24"/>
          <w:lang w:val="pt-BR"/>
        </w:rPr>
        <w:t>oria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0367D9">
        <w:rPr>
          <w:rFonts w:ascii="Arial" w:hAnsi="Arial" w:cs="Arial"/>
          <w:sz w:val="24"/>
          <w:szCs w:val="24"/>
          <w:lang w:val="pt-BR"/>
        </w:rPr>
        <w:t>óp</w:t>
      </w:r>
      <w:r w:rsidRPr="000367D9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0367D9">
        <w:rPr>
          <w:rFonts w:ascii="Arial" w:hAnsi="Arial" w:cs="Arial"/>
          <w:sz w:val="24"/>
          <w:szCs w:val="24"/>
          <w:lang w:val="pt-BR"/>
        </w:rPr>
        <w:t>l</w:t>
      </w:r>
      <w:r w:rsidRPr="000367D9">
        <w:rPr>
          <w:rFonts w:ascii="Arial" w:hAnsi="Arial" w:cs="Arial"/>
          <w:spacing w:val="-2"/>
          <w:sz w:val="24"/>
          <w:szCs w:val="24"/>
          <w:lang w:val="pt-BR"/>
        </w:rPr>
        <w:t>i</w:t>
      </w:r>
      <w:r w:rsidRPr="000367D9">
        <w:rPr>
          <w:rFonts w:ascii="Arial" w:hAnsi="Arial" w:cs="Arial"/>
          <w:sz w:val="24"/>
          <w:szCs w:val="24"/>
          <w:lang w:val="pt-BR"/>
        </w:rPr>
        <w:t>s,</w:t>
      </w:r>
      <w:r w:rsidRPr="000367D9">
        <w:rPr>
          <w:rFonts w:ascii="Arial" w:hAnsi="Arial" w:cs="Arial"/>
          <w:spacing w:val="2"/>
          <w:sz w:val="24"/>
          <w:szCs w:val="24"/>
          <w:lang w:val="pt-BR"/>
        </w:rPr>
        <w:t xml:space="preserve"> 15 de outubro </w:t>
      </w:r>
      <w:r w:rsidRPr="000367D9">
        <w:rPr>
          <w:rFonts w:ascii="Arial" w:hAnsi="Arial" w:cs="Arial"/>
          <w:sz w:val="24"/>
          <w:szCs w:val="24"/>
          <w:lang w:val="pt-BR"/>
        </w:rPr>
        <w:t xml:space="preserve">de </w:t>
      </w:r>
      <w:proofErr w:type="gramStart"/>
      <w:r w:rsidRPr="000367D9">
        <w:rPr>
          <w:rFonts w:ascii="Arial" w:hAnsi="Arial" w:cs="Arial"/>
          <w:spacing w:val="-2"/>
          <w:sz w:val="24"/>
          <w:szCs w:val="24"/>
          <w:lang w:val="pt-BR"/>
        </w:rPr>
        <w:t>2</w:t>
      </w:r>
      <w:r w:rsidRPr="000367D9">
        <w:rPr>
          <w:rFonts w:ascii="Arial" w:hAnsi="Arial" w:cs="Arial"/>
          <w:sz w:val="24"/>
          <w:szCs w:val="24"/>
          <w:lang w:val="pt-BR"/>
        </w:rPr>
        <w:t>020</w:t>
      </w:r>
      <w:proofErr w:type="gramEnd"/>
      <w:r w:rsidRPr="000367D9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/>
        </w:rPr>
      </w:pP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/>
        </w:rPr>
      </w:pPr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Lucélia </w:t>
      </w:r>
      <w:proofErr w:type="spellStart"/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>Scaramussa</w:t>
      </w:r>
      <w:proofErr w:type="spellEnd"/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Ribas </w:t>
      </w:r>
      <w:proofErr w:type="spellStart"/>
      <w:r w:rsidRPr="000367D9">
        <w:rPr>
          <w:rFonts w:ascii="Arial" w:hAnsi="Arial" w:cs="Arial"/>
          <w:b/>
          <w:bCs/>
          <w:sz w:val="24"/>
          <w:szCs w:val="24"/>
          <w:lang w:val="pt-BR" w:eastAsia="pt-BR"/>
        </w:rPr>
        <w:t>Kryckyj</w:t>
      </w:r>
      <w:proofErr w:type="spellEnd"/>
      <w:r w:rsidRPr="000367D9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21112" w:rsidRPr="000367D9" w:rsidRDefault="00921112" w:rsidP="00921112">
      <w:pPr>
        <w:tabs>
          <w:tab w:val="left" w:pos="10915"/>
        </w:tabs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  <w:lang w:val="pt-BR"/>
        </w:rPr>
      </w:pPr>
      <w:r w:rsidRPr="000367D9">
        <w:rPr>
          <w:rFonts w:ascii="Arial" w:hAnsi="Arial" w:cs="Arial"/>
          <w:sz w:val="24"/>
          <w:szCs w:val="24"/>
          <w:lang w:val="pt-BR"/>
        </w:rPr>
        <w:t>D</w:t>
      </w:r>
      <w:r w:rsidRPr="000367D9">
        <w:rPr>
          <w:rFonts w:ascii="Arial" w:hAnsi="Arial" w:cs="Arial"/>
          <w:spacing w:val="-2"/>
          <w:sz w:val="24"/>
          <w:szCs w:val="24"/>
          <w:lang w:val="pt-BR"/>
        </w:rPr>
        <w:t>i</w:t>
      </w:r>
      <w:r w:rsidRPr="000367D9">
        <w:rPr>
          <w:rFonts w:ascii="Arial" w:hAnsi="Arial" w:cs="Arial"/>
          <w:sz w:val="24"/>
          <w:szCs w:val="24"/>
          <w:lang w:val="pt-BR"/>
        </w:rPr>
        <w:t>re</w:t>
      </w:r>
      <w:r w:rsidRPr="000367D9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0367D9">
        <w:rPr>
          <w:rFonts w:ascii="Arial" w:hAnsi="Arial" w:cs="Arial"/>
          <w:sz w:val="24"/>
          <w:szCs w:val="24"/>
          <w:lang w:val="pt-BR"/>
        </w:rPr>
        <w:t>ora de V</w:t>
      </w:r>
      <w:r w:rsidRPr="000367D9">
        <w:rPr>
          <w:rFonts w:ascii="Arial" w:hAnsi="Arial" w:cs="Arial"/>
          <w:spacing w:val="-2"/>
          <w:sz w:val="24"/>
          <w:szCs w:val="24"/>
          <w:lang w:val="pt-BR"/>
        </w:rPr>
        <w:t>i</w:t>
      </w:r>
      <w:r w:rsidRPr="000367D9">
        <w:rPr>
          <w:rFonts w:ascii="Arial" w:hAnsi="Arial" w:cs="Arial"/>
          <w:sz w:val="24"/>
          <w:szCs w:val="24"/>
          <w:lang w:val="pt-BR"/>
        </w:rPr>
        <w:t>g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0367D9">
        <w:rPr>
          <w:rFonts w:ascii="Arial" w:hAnsi="Arial" w:cs="Arial"/>
          <w:sz w:val="24"/>
          <w:szCs w:val="24"/>
          <w:lang w:val="pt-BR"/>
        </w:rPr>
        <w:t>l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â</w:t>
      </w:r>
      <w:r w:rsidRPr="000367D9">
        <w:rPr>
          <w:rFonts w:ascii="Arial" w:hAnsi="Arial" w:cs="Arial"/>
          <w:sz w:val="24"/>
          <w:szCs w:val="24"/>
          <w:lang w:val="pt-BR"/>
        </w:rPr>
        <w:t>nc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0367D9">
        <w:rPr>
          <w:rFonts w:ascii="Arial" w:hAnsi="Arial" w:cs="Arial"/>
          <w:sz w:val="24"/>
          <w:szCs w:val="24"/>
          <w:lang w:val="pt-BR"/>
        </w:rPr>
        <w:t>a Sa</w:t>
      </w:r>
      <w:r w:rsidRPr="000367D9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0367D9">
        <w:rPr>
          <w:rFonts w:ascii="Arial" w:hAnsi="Arial" w:cs="Arial"/>
          <w:sz w:val="24"/>
          <w:szCs w:val="24"/>
          <w:lang w:val="pt-BR"/>
        </w:rPr>
        <w:t>itária</w:t>
      </w:r>
      <w:r w:rsidRPr="000367D9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0367D9">
        <w:rPr>
          <w:rFonts w:ascii="Arial" w:hAnsi="Arial" w:cs="Arial"/>
          <w:sz w:val="24"/>
          <w:szCs w:val="24"/>
          <w:lang w:val="pt-BR"/>
        </w:rPr>
        <w:t>–</w:t>
      </w:r>
      <w:r w:rsidRPr="000367D9">
        <w:rPr>
          <w:rFonts w:ascii="Arial" w:hAnsi="Arial" w:cs="Arial"/>
          <w:spacing w:val="2"/>
          <w:sz w:val="24"/>
          <w:szCs w:val="24"/>
          <w:lang w:val="pt-BR"/>
        </w:rPr>
        <w:t xml:space="preserve"> DIVS/SUV/</w:t>
      </w:r>
      <w:r w:rsidRPr="000367D9">
        <w:rPr>
          <w:rFonts w:ascii="Arial" w:hAnsi="Arial" w:cs="Arial"/>
          <w:sz w:val="24"/>
          <w:szCs w:val="24"/>
          <w:lang w:val="pt-BR"/>
        </w:rPr>
        <w:t>S</w:t>
      </w:r>
      <w:r w:rsidRPr="000367D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0367D9">
        <w:rPr>
          <w:rFonts w:ascii="Arial" w:hAnsi="Arial" w:cs="Arial"/>
          <w:sz w:val="24"/>
          <w:szCs w:val="24"/>
          <w:lang w:val="pt-BR"/>
        </w:rPr>
        <w:t>S</w:t>
      </w:r>
    </w:p>
    <w:p w:rsidR="00921112" w:rsidRPr="000367D9" w:rsidRDefault="00921112" w:rsidP="00921112">
      <w:pPr>
        <w:spacing w:line="360" w:lineRule="auto"/>
        <w:ind w:left="1276" w:right="1028"/>
        <w:jc w:val="both"/>
        <w:rPr>
          <w:rFonts w:ascii="Arial" w:hAnsi="Arial" w:cs="Arial"/>
          <w:sz w:val="24"/>
          <w:szCs w:val="24"/>
        </w:rPr>
      </w:pPr>
    </w:p>
    <w:p w:rsidR="00921112" w:rsidRDefault="00921112" w:rsidP="00921112">
      <w:pPr>
        <w:pStyle w:val="Corpodetexto"/>
        <w:spacing w:line="360" w:lineRule="au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20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Default="00921112" w:rsidP="00921112">
      <w:pPr>
        <w:pStyle w:val="Corpodetexto"/>
        <w:ind w:left="1276" w:right="1028"/>
        <w:jc w:val="both"/>
        <w:rPr>
          <w:sz w:val="15"/>
        </w:rPr>
      </w:pPr>
    </w:p>
    <w:p w:rsidR="00921112" w:rsidRPr="00921112" w:rsidRDefault="00921112" w:rsidP="00921112">
      <w:pPr>
        <w:pStyle w:val="Corpodetexto"/>
        <w:ind w:left="1276" w:right="1028"/>
        <w:jc w:val="both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EE6445" wp14:editId="30896091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79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20"/>
                            <a:gd name="T2" fmla="+- 0 10680 156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8pt;margin-top:11pt;width:4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" path="m,l9120,e" filled="f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21112" w:rsidRDefault="00921112" w:rsidP="00921112">
      <w:pPr>
        <w:spacing w:before="190" w:line="206" w:lineRule="exact"/>
        <w:ind w:left="1276" w:right="1028"/>
        <w:jc w:val="both"/>
        <w:rPr>
          <w:rFonts w:ascii="Arial"/>
          <w:sz w:val="18"/>
        </w:rPr>
      </w:pPr>
      <w:r>
        <w:rPr>
          <w:rFonts w:ascii="Arial"/>
          <w:sz w:val="18"/>
        </w:rPr>
        <w:t>Av. Rio Branco, 152</w:t>
      </w:r>
    </w:p>
    <w:p w:rsidR="00921112" w:rsidRDefault="00921112" w:rsidP="00921112">
      <w:pPr>
        <w:spacing w:line="204" w:lineRule="exact"/>
        <w:ind w:left="1276" w:right="1028"/>
        <w:jc w:val="both"/>
        <w:rPr>
          <w:rFonts w:ascii="Arial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39B1B9B2" wp14:editId="722DB295">
            <wp:simplePos x="0" y="0"/>
            <wp:positionH relativeFrom="page">
              <wp:posOffset>4687570</wp:posOffset>
            </wp:positionH>
            <wp:positionV relativeFrom="paragraph">
              <wp:posOffset>-161641</wp:posOffset>
            </wp:positionV>
            <wp:extent cx="672306" cy="4114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0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1312" behindDoc="0" locked="0" layoutInCell="1" allowOverlap="1" wp14:anchorId="5E2904EC" wp14:editId="66AEC93E">
            <wp:simplePos x="0" y="0"/>
            <wp:positionH relativeFrom="page">
              <wp:posOffset>5610859</wp:posOffset>
            </wp:positionH>
            <wp:positionV relativeFrom="paragraph">
              <wp:posOffset>-180056</wp:posOffset>
            </wp:positionV>
            <wp:extent cx="561340" cy="5092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0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2336" behindDoc="0" locked="0" layoutInCell="1" allowOverlap="1" wp14:anchorId="5A6B44DC" wp14:editId="603D96FE">
            <wp:simplePos x="0" y="0"/>
            <wp:positionH relativeFrom="page">
              <wp:posOffset>6407150</wp:posOffset>
            </wp:positionH>
            <wp:positionV relativeFrom="paragraph">
              <wp:posOffset>-150846</wp:posOffset>
            </wp:positionV>
            <wp:extent cx="534034" cy="44830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4" cy="44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8"/>
        </w:rPr>
        <w:t>CEP 88015-200 Fone/Fax: 3251-</w:t>
      </w:r>
      <w:proofErr w:type="gramStart"/>
      <w:r>
        <w:rPr>
          <w:rFonts w:ascii="Arial"/>
          <w:sz w:val="18"/>
        </w:rPr>
        <w:t>7960 .</w:t>
      </w:r>
      <w:proofErr w:type="gramEnd"/>
      <w:r>
        <w:rPr>
          <w:rFonts w:ascii="Arial"/>
          <w:sz w:val="18"/>
        </w:rPr>
        <w:t xml:space="preserve"> </w:t>
      </w:r>
      <w:proofErr w:type="gramStart"/>
      <w:r>
        <w:rPr>
          <w:rFonts w:ascii="Arial"/>
          <w:sz w:val="18"/>
        </w:rPr>
        <w:t>e-mail</w:t>
      </w:r>
      <w:proofErr w:type="gramEnd"/>
      <w:r>
        <w:rPr>
          <w:rFonts w:ascii="Arial"/>
          <w:sz w:val="18"/>
        </w:rPr>
        <w:t xml:space="preserve">: </w:t>
      </w:r>
      <w:hyperlink r:id="rId9">
        <w:r>
          <w:rPr>
            <w:rFonts w:ascii="Arial"/>
            <w:sz w:val="18"/>
          </w:rPr>
          <w:t>dvs@saude.sc.gov.br</w:t>
        </w:r>
      </w:hyperlink>
    </w:p>
    <w:p w:rsidR="00921112" w:rsidRPr="00133535" w:rsidRDefault="00133535" w:rsidP="00133535">
      <w:pPr>
        <w:spacing w:line="205" w:lineRule="exact"/>
        <w:ind w:left="1276" w:right="1028"/>
        <w:jc w:val="both"/>
        <w:rPr>
          <w:rFonts w:ascii="Arial"/>
          <w:b/>
          <w:sz w:val="18"/>
        </w:rPr>
      </w:pPr>
      <w:hyperlink r:id="rId10">
        <w:r w:rsidR="00921112">
          <w:rPr>
            <w:rFonts w:ascii="Arial"/>
            <w:b/>
            <w:sz w:val="18"/>
          </w:rPr>
          <w:t>www.vigilanciasanitaria.sc.gov.br</w:t>
        </w:r>
      </w:hyperlink>
      <w:bookmarkStart w:id="6" w:name="_GoBack"/>
      <w:bookmarkEnd w:id="6"/>
    </w:p>
    <w:sectPr w:rsidR="00921112" w:rsidRPr="00133535" w:rsidSect="00921112">
      <w:pgSz w:w="11900" w:h="16840"/>
      <w:pgMar w:top="60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2"/>
    <w:rsid w:val="00086882"/>
    <w:rsid w:val="00133535"/>
    <w:rsid w:val="009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21112"/>
    <w:pPr>
      <w:ind w:right="9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2111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2111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2111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link w:val="Cabealho"/>
    <w:rsid w:val="00921112"/>
    <w:rPr>
      <w:lang w:eastAsia="pt-BR"/>
    </w:rPr>
  </w:style>
  <w:style w:type="paragraph" w:styleId="Cabealho">
    <w:name w:val="header"/>
    <w:basedOn w:val="Normal"/>
    <w:link w:val="CabealhoChar"/>
    <w:rsid w:val="00921112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val="pt-BR" w:eastAsia="pt-BR"/>
    </w:rPr>
  </w:style>
  <w:style w:type="character" w:customStyle="1" w:styleId="CabealhoChar1">
    <w:name w:val="Cabeçalho Char1"/>
    <w:basedOn w:val="Fontepargpadro"/>
    <w:uiPriority w:val="99"/>
    <w:semiHidden/>
    <w:rsid w:val="00921112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21112"/>
    <w:pPr>
      <w:ind w:right="9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2111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2111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2111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link w:val="Cabealho"/>
    <w:rsid w:val="00921112"/>
    <w:rPr>
      <w:lang w:eastAsia="pt-BR"/>
    </w:rPr>
  </w:style>
  <w:style w:type="paragraph" w:styleId="Cabealho">
    <w:name w:val="header"/>
    <w:basedOn w:val="Normal"/>
    <w:link w:val="CabealhoChar"/>
    <w:rsid w:val="00921112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val="pt-BR" w:eastAsia="pt-BR"/>
    </w:rPr>
  </w:style>
  <w:style w:type="character" w:customStyle="1" w:styleId="CabealhoChar1">
    <w:name w:val="Cabeçalho Char1"/>
    <w:basedOn w:val="Fontepargpadro"/>
    <w:uiPriority w:val="99"/>
    <w:semiHidden/>
    <w:rsid w:val="0092111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gilanciasanitari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s@saud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Fernanda De Andrade Franco</dc:creator>
  <cp:lastModifiedBy>Nadja Fernanda De Andrade Franco</cp:lastModifiedBy>
  <cp:revision>2</cp:revision>
  <dcterms:created xsi:type="dcterms:W3CDTF">2020-10-23T20:04:00Z</dcterms:created>
  <dcterms:modified xsi:type="dcterms:W3CDTF">2020-10-23T20:22:00Z</dcterms:modified>
</cp:coreProperties>
</file>